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EF4C" w14:textId="77777777" w:rsidR="00E92B8A" w:rsidRDefault="00E92B8A" w:rsidP="00E92B8A">
      <w:pPr>
        <w:pStyle w:val="NormalWeb"/>
        <w:rPr>
          <w:rStyle w:val="Strong"/>
          <w:rFonts w:eastAsiaTheme="majorEastAsia"/>
        </w:rPr>
      </w:pPr>
      <w:r w:rsidRPr="00AF5F03">
        <w:rPr>
          <w:rStyle w:val="Strong"/>
          <w:rFonts w:eastAsiaTheme="majorEastAsia"/>
        </w:rPr>
        <w:t>Thermodynamic Mapping of Italy’s Green Energy Transition: An Exergy-Based Leontief Input-Output Analysis of Sectoral Emissions and Entropy Flows</w:t>
      </w:r>
    </w:p>
    <w:p w14:paraId="65A16E1A" w14:textId="77777777" w:rsidR="00DA4D08" w:rsidRPr="00C65DB0" w:rsidRDefault="00DA4D08" w:rsidP="00DA4D08">
      <w:pPr>
        <w:spacing w:before="120" w:after="120" w:line="240" w:lineRule="auto"/>
        <w:jc w:val="center"/>
        <w:rPr>
          <w:rFonts w:ascii="Times New Roman" w:eastAsia="Calibri" w:hAnsi="Times New Roman" w:cs="Times New Roman"/>
          <w:b/>
          <w:bCs/>
          <w:color w:val="000000"/>
        </w:rPr>
      </w:pPr>
      <w:r w:rsidRPr="00C04A08">
        <w:rPr>
          <w:rFonts w:ascii="Times New Roman" w:eastAsia="Calibri" w:hAnsi="Times New Roman" w:cs="Times New Roman"/>
          <w:b/>
          <w:color w:val="000000"/>
        </w:rPr>
        <w:t>P</w:t>
      </w:r>
      <w:r>
        <w:rPr>
          <w:rFonts w:ascii="Times New Roman" w:eastAsia="Calibri" w:hAnsi="Times New Roman" w:cs="Times New Roman"/>
          <w:b/>
          <w:color w:val="000000"/>
        </w:rPr>
        <w:t>hD</w:t>
      </w:r>
      <w:r w:rsidRPr="00C04A08">
        <w:rPr>
          <w:rFonts w:ascii="Times New Roman" w:eastAsia="Calibri" w:hAnsi="Times New Roman" w:cs="Times New Roman"/>
          <w:b/>
          <w:color w:val="000000"/>
        </w:rPr>
        <w:t>.</w:t>
      </w:r>
      <w:r>
        <w:rPr>
          <w:rFonts w:ascii="Times New Roman" w:eastAsia="Calibri" w:hAnsi="Times New Roman" w:cs="Times New Roman"/>
          <w:b/>
          <w:color w:val="000000"/>
        </w:rPr>
        <w:t xml:space="preserve"> student</w:t>
      </w:r>
      <w:r w:rsidRPr="00C04A08">
        <w:rPr>
          <w:rFonts w:ascii="Times New Roman" w:eastAsia="Calibri" w:hAnsi="Times New Roman" w:cs="Times New Roman"/>
          <w:b/>
          <w:color w:val="000000"/>
        </w:rPr>
        <w:t xml:space="preserve"> </w:t>
      </w:r>
      <w:r w:rsidRPr="00C65DB0">
        <w:rPr>
          <w:rFonts w:ascii="Times New Roman" w:eastAsia="Calibri" w:hAnsi="Times New Roman" w:cs="Times New Roman"/>
          <w:b/>
          <w:bCs/>
          <w:color w:val="000000"/>
        </w:rPr>
        <w:t>Esmeralda Sinaj</w:t>
      </w:r>
      <w:r w:rsidRPr="00C65DB0">
        <w:rPr>
          <w:rFonts w:ascii="Times New Roman" w:eastAsia="Calibri" w:hAnsi="Times New Roman" w:cs="Times New Roman"/>
          <w:b/>
          <w:bCs/>
          <w:color w:val="000000"/>
          <w:vertAlign w:val="superscript"/>
        </w:rPr>
        <w:t>1</w:t>
      </w:r>
    </w:p>
    <w:p w14:paraId="7D09C0BF" w14:textId="77777777" w:rsidR="00DA4D08" w:rsidRDefault="00DA4D08" w:rsidP="00DA4D08">
      <w:pPr>
        <w:spacing w:beforeLines="120" w:before="288" w:afterLines="120" w:after="288" w:line="240" w:lineRule="auto"/>
        <w:jc w:val="center"/>
        <w:rPr>
          <w:rFonts w:ascii="Times New Roman" w:hAnsi="Times New Roman" w:cs="Times New Roman"/>
        </w:rPr>
      </w:pPr>
      <w:r w:rsidRPr="00E3750C">
        <w:rPr>
          <w:rFonts w:ascii="Times New Roman" w:hAnsi="Times New Roman" w:cs="Times New Roman"/>
        </w:rPr>
        <w:t>University of Tirana, Faculty of Natural Sciences, Department of Physics, Albania</w:t>
      </w:r>
    </w:p>
    <w:p w14:paraId="7A344F67" w14:textId="77777777" w:rsidR="00DA4D08" w:rsidRPr="00E3750C" w:rsidRDefault="00DA4D08" w:rsidP="00DA4D08">
      <w:pPr>
        <w:spacing w:beforeLines="120" w:before="288" w:afterLines="120" w:after="288" w:line="240" w:lineRule="auto"/>
        <w:jc w:val="center"/>
        <w:rPr>
          <w:rFonts w:ascii="Times New Roman" w:hAnsi="Times New Roman" w:cs="Times New Roman"/>
        </w:rPr>
      </w:pPr>
      <w:r>
        <w:rPr>
          <w:rFonts w:ascii="Times New Roman" w:hAnsi="Times New Roman" w:cs="Times New Roman"/>
        </w:rPr>
        <w:t xml:space="preserve">Catholic University </w:t>
      </w:r>
      <w:r>
        <w:rPr>
          <w:rFonts w:ascii="Calibri" w:hAnsi="Calibri" w:cs="Calibri"/>
        </w:rPr>
        <w:t>"</w:t>
      </w:r>
      <w:r>
        <w:rPr>
          <w:rFonts w:ascii="Times New Roman" w:hAnsi="Times New Roman" w:cs="Times New Roman"/>
        </w:rPr>
        <w:t xml:space="preserve">Our Lady of Good Counsel </w:t>
      </w:r>
      <w:r>
        <w:rPr>
          <w:rFonts w:ascii="Calibri" w:hAnsi="Calibri" w:cs="Calibri"/>
        </w:rPr>
        <w:t>"</w:t>
      </w:r>
      <w:r w:rsidRPr="00E3750C">
        <w:rPr>
          <w:rFonts w:ascii="Times New Roman" w:hAnsi="Times New Roman" w:cs="Times New Roman"/>
        </w:rPr>
        <w:t>, Tirana, Albania</w:t>
      </w:r>
    </w:p>
    <w:p w14:paraId="2CC89CFF" w14:textId="77777777" w:rsidR="00DA4D08" w:rsidRDefault="00DA4D08" w:rsidP="00DA4D08">
      <w:pPr>
        <w:spacing w:beforeLines="120" w:before="288" w:afterLines="120" w:after="288" w:line="240" w:lineRule="auto"/>
        <w:jc w:val="center"/>
        <w:rPr>
          <w:rFonts w:ascii="Times New Roman" w:hAnsi="Times New Roman" w:cs="Times New Roman"/>
          <w:b/>
          <w:bCs/>
        </w:rPr>
      </w:pPr>
      <w:r>
        <w:rPr>
          <w:rFonts w:ascii="Times New Roman" w:hAnsi="Times New Roman" w:cs="Times New Roman"/>
          <w:b/>
          <w:bCs/>
        </w:rPr>
        <w:t xml:space="preserve">Assoc. Prof. </w:t>
      </w:r>
      <w:r w:rsidRPr="00E3750C">
        <w:rPr>
          <w:rFonts w:ascii="Times New Roman" w:hAnsi="Times New Roman" w:cs="Times New Roman"/>
          <w:b/>
          <w:bCs/>
        </w:rPr>
        <w:t>Daniela Halili</w:t>
      </w:r>
      <w:r>
        <w:rPr>
          <w:rFonts w:ascii="Times New Roman" w:eastAsia="Calibri" w:hAnsi="Times New Roman" w:cs="Times New Roman"/>
          <w:b/>
          <w:bCs/>
          <w:color w:val="000000"/>
          <w:vertAlign w:val="superscript"/>
        </w:rPr>
        <w:t>2</w:t>
      </w:r>
    </w:p>
    <w:p w14:paraId="273BAF84" w14:textId="77777777" w:rsidR="00DA4D08" w:rsidRDefault="00DA4D08" w:rsidP="00DA4D08">
      <w:pPr>
        <w:spacing w:beforeLines="120" w:before="288" w:afterLines="120" w:after="288" w:line="240" w:lineRule="auto"/>
        <w:jc w:val="center"/>
        <w:rPr>
          <w:rFonts w:ascii="Times New Roman" w:hAnsi="Times New Roman" w:cs="Times New Roman"/>
        </w:rPr>
      </w:pPr>
      <w:r w:rsidRPr="00E3750C">
        <w:rPr>
          <w:rFonts w:ascii="Times New Roman" w:hAnsi="Times New Roman" w:cs="Times New Roman"/>
        </w:rPr>
        <w:t>University of Tirana, Faculty of Natural Sciences, Department of Physics, Albania</w:t>
      </w:r>
    </w:p>
    <w:p w14:paraId="727CB976" w14:textId="77777777" w:rsidR="00DA4D08" w:rsidRPr="00E3750C" w:rsidRDefault="00DA4D08" w:rsidP="00DA4D08">
      <w:pPr>
        <w:spacing w:beforeLines="120" w:before="288" w:afterLines="120" w:after="288" w:line="240" w:lineRule="auto"/>
        <w:jc w:val="center"/>
        <w:rPr>
          <w:rFonts w:ascii="Times New Roman" w:hAnsi="Times New Roman" w:cs="Times New Roman"/>
          <w:b/>
          <w:bCs/>
          <w:vertAlign w:val="superscript"/>
        </w:rPr>
      </w:pPr>
      <w:r>
        <w:rPr>
          <w:rFonts w:ascii="Times New Roman" w:hAnsi="Times New Roman" w:cs="Times New Roman"/>
          <w:b/>
          <w:bCs/>
        </w:rPr>
        <w:t xml:space="preserve">MSc. student </w:t>
      </w:r>
      <w:r w:rsidRPr="00E3750C">
        <w:rPr>
          <w:rFonts w:ascii="Times New Roman" w:hAnsi="Times New Roman" w:cs="Times New Roman"/>
          <w:b/>
          <w:bCs/>
        </w:rPr>
        <w:t>Melissa Janina</w:t>
      </w:r>
      <w:r>
        <w:rPr>
          <w:rFonts w:ascii="Times New Roman" w:eastAsia="Calibri" w:hAnsi="Times New Roman" w:cs="Times New Roman"/>
          <w:b/>
          <w:bCs/>
          <w:color w:val="000000"/>
          <w:vertAlign w:val="superscript"/>
        </w:rPr>
        <w:t>4</w:t>
      </w:r>
    </w:p>
    <w:p w14:paraId="28FF4FB4" w14:textId="43175F2A" w:rsidR="00DA4D08" w:rsidRPr="00587413" w:rsidRDefault="00DA4D08" w:rsidP="00587413">
      <w:pPr>
        <w:spacing w:beforeLines="120" w:before="288" w:afterLines="120" w:after="288" w:line="240" w:lineRule="auto"/>
        <w:jc w:val="center"/>
        <w:rPr>
          <w:rFonts w:ascii="Times New Roman" w:hAnsi="Times New Roman" w:cs="Times New Roman"/>
        </w:rPr>
      </w:pPr>
      <w:r w:rsidRPr="00E3750C">
        <w:rPr>
          <w:rFonts w:ascii="Times New Roman" w:hAnsi="Times New Roman" w:cs="Times New Roman"/>
        </w:rPr>
        <w:t xml:space="preserve">Bocconi University, Faculty of International Economics and Management, Milan, Italy </w:t>
      </w:r>
    </w:p>
    <w:p w14:paraId="18E58E69" w14:textId="672E851D" w:rsidR="00587413" w:rsidRDefault="004A1DC9" w:rsidP="004A1DC9">
      <w:pPr>
        <w:pStyle w:val="NormalWeb"/>
        <w:spacing w:before="0" w:beforeAutospacing="0" w:after="0" w:afterAutospacing="0"/>
        <w:jc w:val="center"/>
        <w:rPr>
          <w:b/>
          <w:bCs/>
        </w:rPr>
      </w:pPr>
      <w:r w:rsidRPr="004A1DC9">
        <w:rPr>
          <w:b/>
          <w:bCs/>
        </w:rPr>
        <w:t>ABSTRACT</w:t>
      </w:r>
    </w:p>
    <w:p w14:paraId="187FFD61" w14:textId="77777777" w:rsidR="004A1DC9" w:rsidRPr="004A1DC9" w:rsidRDefault="004A1DC9" w:rsidP="004A1DC9">
      <w:pPr>
        <w:pStyle w:val="NormalWeb"/>
        <w:spacing w:before="0" w:beforeAutospacing="0" w:after="0" w:afterAutospacing="0"/>
        <w:jc w:val="center"/>
        <w:rPr>
          <w:b/>
          <w:bCs/>
        </w:rPr>
      </w:pPr>
    </w:p>
    <w:p w14:paraId="1351B571" w14:textId="72AAAE17" w:rsidR="00E92B8A" w:rsidRPr="00AF5F03" w:rsidRDefault="00E92B8A" w:rsidP="00AF5F03">
      <w:pPr>
        <w:pStyle w:val="NormalWeb"/>
        <w:spacing w:before="0" w:beforeAutospacing="0" w:after="0" w:afterAutospacing="0"/>
        <w:jc w:val="both"/>
      </w:pPr>
      <w:r w:rsidRPr="00AF5F03">
        <w:t>The transition to low-carbon energy systems requires analytical tools that integrate economic interdependencies with the laws of thermodynamics. This study develops a thermodynamically extended Leontief Input-Output (I-O) model, incorporating Environmentally Extended Input-Output Tables (EE-IOTs), to quantify exergy flows, emissions intensities, and entropy generation across Italy’s key economic sectors during its green energy transition.</w:t>
      </w:r>
    </w:p>
    <w:p w14:paraId="40AA7DD4" w14:textId="77777777" w:rsidR="00E92B8A" w:rsidRPr="00AF5F03" w:rsidRDefault="00E92B8A" w:rsidP="00AF5F03">
      <w:pPr>
        <w:pStyle w:val="NormalWeb"/>
        <w:spacing w:before="0" w:beforeAutospacing="0" w:after="0" w:afterAutospacing="0"/>
        <w:jc w:val="both"/>
      </w:pPr>
      <w:r w:rsidRPr="00AF5F03">
        <w:t>By treating the national economy as an open thermodynamic system, we trace how energy carriers of differing exergy quality are allocated, transformed, and degraded across intersectoral production networks. Emphasis is placed on electricity, manufacturing, and construction—sectors critical to both economic output and energy throughput. Sector-specific exergy destruction and entropy generation rates are derived from transformation efficiencies, energy balances, and emissions data.</w:t>
      </w:r>
    </w:p>
    <w:p w14:paraId="67A9F652" w14:textId="77777777" w:rsidR="00E92B8A" w:rsidRPr="00AF5F03" w:rsidRDefault="00E92B8A" w:rsidP="00AF5F03">
      <w:pPr>
        <w:pStyle w:val="NormalWeb"/>
        <w:spacing w:before="0" w:beforeAutospacing="0" w:after="0" w:afterAutospacing="0"/>
        <w:jc w:val="both"/>
      </w:pPr>
      <w:r w:rsidRPr="00AF5F03">
        <w:t>Results show that renewable electricity—particularly solar and wind—achieves the highest exergy efficiency and the lowest entropy generation per unit of output, generating positive systemic spillovers. In contrast, fossil-dependent manufacturing sectors emerge as thermodynamically irreversible nodes, with substantial exergy losses. The construction sector, while moderate in exergy terms, plays a pivotal enabling role in infrastructure deployment.</w:t>
      </w:r>
    </w:p>
    <w:p w14:paraId="7E5B8C7D" w14:textId="77777777" w:rsidR="00E92B8A" w:rsidRDefault="00E92B8A" w:rsidP="00AF5F03">
      <w:pPr>
        <w:pStyle w:val="NormalWeb"/>
        <w:spacing w:before="0" w:beforeAutospacing="0" w:after="0" w:afterAutospacing="0"/>
        <w:jc w:val="both"/>
      </w:pPr>
      <w:r w:rsidRPr="00AF5F03">
        <w:t>Scenario analysis indicates that aligning renewable energy investment with sectors characterized by low entropy-to-output ratios yields maximum decarbonization efficiency. By embedding thermodynamic constraints into macroeconomic modeling, this work presents a novel exergy-based framework for assessing the sustainability of national energy transitions. It advances the integration of physical energy metrics into economic policy design, enabling more physically consistent and systems-informed decarbonization strategies.</w:t>
      </w:r>
    </w:p>
    <w:p w14:paraId="43FB67A7" w14:textId="77777777" w:rsidR="00011415" w:rsidRPr="00AF5F03" w:rsidRDefault="00011415" w:rsidP="00AF5F03">
      <w:pPr>
        <w:pStyle w:val="NormalWeb"/>
        <w:spacing w:before="0" w:beforeAutospacing="0" w:after="0" w:afterAutospacing="0"/>
        <w:jc w:val="both"/>
      </w:pPr>
    </w:p>
    <w:p w14:paraId="19299C69" w14:textId="77777777" w:rsidR="00E92B8A" w:rsidRPr="00AF5F03" w:rsidRDefault="00E92B8A" w:rsidP="00E92B8A">
      <w:pPr>
        <w:pStyle w:val="NormalWeb"/>
        <w:jc w:val="both"/>
      </w:pPr>
      <w:r w:rsidRPr="00011415">
        <w:rPr>
          <w:b/>
          <w:bCs/>
        </w:rPr>
        <w:t>Keywords</w:t>
      </w:r>
      <w:r w:rsidRPr="00AF5F03">
        <w:t>: Exergy analysis, Entropy generation, Thermodynamic economics, Leontief Input-Output model</w:t>
      </w:r>
    </w:p>
    <w:p w14:paraId="6C622B81" w14:textId="0F1E55F1" w:rsidR="00E92B8A" w:rsidRPr="00CB19A4" w:rsidRDefault="00E92B8A" w:rsidP="00E92B8A">
      <w:pPr>
        <w:pStyle w:val="Heading3"/>
        <w:jc w:val="both"/>
        <w:rPr>
          <w:rFonts w:ascii="Times New Roman" w:hAnsi="Times New Roman" w:cs="Times New Roman"/>
          <w:color w:val="000000" w:themeColor="text1"/>
          <w:sz w:val="24"/>
          <w:szCs w:val="24"/>
        </w:rPr>
      </w:pPr>
      <w:r w:rsidRPr="00CB19A4">
        <w:rPr>
          <w:rStyle w:val="Strong"/>
          <w:rFonts w:ascii="Times New Roman" w:hAnsi="Times New Roman" w:cs="Times New Roman"/>
          <w:color w:val="000000" w:themeColor="text1"/>
          <w:sz w:val="24"/>
          <w:szCs w:val="24"/>
        </w:rPr>
        <w:lastRenderedPageBreak/>
        <w:t>References</w:t>
      </w:r>
      <w:r w:rsidRPr="00CB19A4">
        <w:rPr>
          <w:rFonts w:ascii="Times New Roman" w:hAnsi="Times New Roman" w:cs="Times New Roman"/>
          <w:color w:val="000000" w:themeColor="text1"/>
          <w:sz w:val="24"/>
          <w:szCs w:val="24"/>
        </w:rPr>
        <w:t xml:space="preserve"> </w:t>
      </w:r>
    </w:p>
    <w:p w14:paraId="0D2BD905" w14:textId="4AF96056" w:rsidR="00E92B8A" w:rsidRPr="00AF5F03" w:rsidRDefault="00E92B8A" w:rsidP="00E92B8A">
      <w:pPr>
        <w:pStyle w:val="NormalWeb"/>
        <w:numPr>
          <w:ilvl w:val="0"/>
          <w:numId w:val="1"/>
        </w:numPr>
        <w:jc w:val="both"/>
      </w:pPr>
      <w:r w:rsidRPr="00AF5F03">
        <w:t xml:space="preserve">Dewulf, J., Van </w:t>
      </w:r>
      <w:proofErr w:type="spellStart"/>
      <w:r w:rsidRPr="00AF5F03">
        <w:t>Langenhove</w:t>
      </w:r>
      <w:proofErr w:type="spellEnd"/>
      <w:r w:rsidRPr="00AF5F03">
        <w:t xml:space="preserve">, H., &amp; Muys, B. (2008). Exergy: Its potential and limitations in environmental science and technology. </w:t>
      </w:r>
      <w:r w:rsidRPr="00AF5F03">
        <w:rPr>
          <w:rStyle w:val="Emphasis"/>
          <w:rFonts w:eastAsiaTheme="majorEastAsia"/>
        </w:rPr>
        <w:t>Environmental Science &amp; Technology, 42</w:t>
      </w:r>
      <w:r w:rsidRPr="00AF5F03">
        <w:t xml:space="preserve">(7), 2221–2232. </w:t>
      </w:r>
    </w:p>
    <w:p w14:paraId="663150AF" w14:textId="77777777" w:rsidR="00E92B8A" w:rsidRPr="00AF5F03" w:rsidRDefault="00E92B8A" w:rsidP="00E92B8A">
      <w:pPr>
        <w:pStyle w:val="NormalWeb"/>
        <w:numPr>
          <w:ilvl w:val="0"/>
          <w:numId w:val="1"/>
        </w:numPr>
        <w:jc w:val="both"/>
      </w:pPr>
      <w:r w:rsidRPr="00AF5F03">
        <w:t xml:space="preserve">Leontief, W. (1970). Environmental repercussions and the economic structure: An input-output approach. </w:t>
      </w:r>
      <w:r w:rsidRPr="00AF5F03">
        <w:rPr>
          <w:rStyle w:val="Emphasis"/>
          <w:rFonts w:eastAsiaTheme="majorEastAsia"/>
        </w:rPr>
        <w:t>The Review of Economics and Statistics, 52</w:t>
      </w:r>
      <w:r w:rsidRPr="00AF5F03">
        <w:t>(3), 262–271. https://doi.org/10.2307/1926294</w:t>
      </w:r>
    </w:p>
    <w:p w14:paraId="0CF12870" w14:textId="77777777" w:rsidR="00E92B8A" w:rsidRPr="00AF5F03" w:rsidRDefault="00E92B8A" w:rsidP="00E92B8A">
      <w:pPr>
        <w:pStyle w:val="NormalWeb"/>
        <w:numPr>
          <w:ilvl w:val="0"/>
          <w:numId w:val="1"/>
        </w:numPr>
        <w:jc w:val="both"/>
      </w:pPr>
      <w:r w:rsidRPr="00AF5F03">
        <w:t xml:space="preserve">Miller, R. E., &amp; Blair, P. D. (2009). </w:t>
      </w:r>
      <w:r w:rsidRPr="00AF5F03">
        <w:rPr>
          <w:rStyle w:val="Emphasis"/>
          <w:rFonts w:eastAsiaTheme="majorEastAsia"/>
        </w:rPr>
        <w:t>Input-output analysis: Foundations and extensions</w:t>
      </w:r>
      <w:r w:rsidRPr="00AF5F03">
        <w:t xml:space="preserve"> (2nd ed.). Cambridge University Press.</w:t>
      </w:r>
    </w:p>
    <w:p w14:paraId="1AA90284" w14:textId="77777777" w:rsidR="00E92B8A" w:rsidRPr="00AF5F03" w:rsidRDefault="00E92B8A" w:rsidP="00E92B8A">
      <w:pPr>
        <w:pStyle w:val="NormalWeb"/>
        <w:numPr>
          <w:ilvl w:val="0"/>
          <w:numId w:val="1"/>
        </w:numPr>
        <w:jc w:val="both"/>
      </w:pPr>
      <w:r w:rsidRPr="00AF5F03">
        <w:t xml:space="preserve">Sciubba, E., &amp; Wall, G. (2007). A brief commented history of exergy from the beginnings to 2004. </w:t>
      </w:r>
      <w:r w:rsidRPr="00AF5F03">
        <w:rPr>
          <w:rStyle w:val="Emphasis"/>
          <w:rFonts w:eastAsiaTheme="majorEastAsia"/>
        </w:rPr>
        <w:t>International Journal of Thermodynamics, 10</w:t>
      </w:r>
      <w:r w:rsidRPr="00AF5F03">
        <w:t>(1), 1–26.</w:t>
      </w:r>
    </w:p>
    <w:p w14:paraId="60D253C6" w14:textId="77777777" w:rsidR="00E92B8A" w:rsidRPr="00AF5F03" w:rsidRDefault="00E92B8A" w:rsidP="00E92B8A">
      <w:pPr>
        <w:pStyle w:val="NormalWeb"/>
        <w:numPr>
          <w:ilvl w:val="0"/>
          <w:numId w:val="1"/>
        </w:numPr>
        <w:jc w:val="both"/>
      </w:pPr>
      <w:r w:rsidRPr="00AF5F03">
        <w:t xml:space="preserve">Valero, A., Valero, A., &amp; Calvo, G. (2017). Thermodynamic accounting and the economics of resource efficiency. </w:t>
      </w:r>
      <w:r w:rsidRPr="00AF5F03">
        <w:rPr>
          <w:rStyle w:val="Emphasis"/>
          <w:rFonts w:eastAsiaTheme="majorEastAsia"/>
        </w:rPr>
        <w:t>Ecological Economics, 140</w:t>
      </w:r>
      <w:r w:rsidRPr="00AF5F03">
        <w:t>, 136–147. https://doi.org/10.1016/j.ecolecon.2017.05.005</w:t>
      </w:r>
    </w:p>
    <w:p w14:paraId="04CA3BF7" w14:textId="2C81E44A" w:rsidR="00E92B8A" w:rsidRPr="00E92B8A" w:rsidRDefault="00E92B8A" w:rsidP="00AC56B9">
      <w:pPr>
        <w:pStyle w:val="NormalWeb"/>
        <w:numPr>
          <w:ilvl w:val="0"/>
          <w:numId w:val="1"/>
        </w:numPr>
        <w:jc w:val="both"/>
      </w:pPr>
      <w:r w:rsidRPr="00AF5F03">
        <w:t xml:space="preserve">Wiedmann, T. (2009). A review of recent multi-region input-output models used for consumption-based emission and resource accounting. </w:t>
      </w:r>
      <w:r w:rsidRPr="00AF5F03">
        <w:rPr>
          <w:rStyle w:val="Emphasis"/>
          <w:rFonts w:eastAsiaTheme="majorEastAsia"/>
        </w:rPr>
        <w:t>Ecological Economics, 69</w:t>
      </w:r>
      <w:r w:rsidRPr="00AF5F03">
        <w:t>(2), 211–222. https://doi.org/10.1016/j.ecolecon.2009.08.026</w:t>
      </w:r>
      <w:r w:rsidR="00AC56B9" w:rsidRPr="00E92B8A">
        <w:t xml:space="preserve"> </w:t>
      </w:r>
    </w:p>
    <w:p w14:paraId="5D6B1904" w14:textId="77777777" w:rsidR="00E92B8A" w:rsidRPr="00E92B8A" w:rsidRDefault="00E92B8A" w:rsidP="00E92B8A">
      <w:pPr>
        <w:pStyle w:val="NormalWeb"/>
        <w:numPr>
          <w:ilvl w:val="0"/>
          <w:numId w:val="1"/>
        </w:numPr>
        <w:jc w:val="both"/>
      </w:pPr>
      <w:r w:rsidRPr="00E92B8A">
        <w:t xml:space="preserve">Eurostat. (2023). </w:t>
      </w:r>
      <w:r w:rsidRPr="00E92B8A">
        <w:rPr>
          <w:rStyle w:val="Emphasis"/>
          <w:rFonts w:eastAsiaTheme="majorEastAsia"/>
        </w:rPr>
        <w:t>Energy Balances and Input-Output Tables</w:t>
      </w:r>
      <w:r w:rsidRPr="00E92B8A">
        <w:t xml:space="preserve">. European Commission. Retrieved from </w:t>
      </w:r>
      <w:hyperlink r:id="rId7" w:tgtFrame="_new" w:history="1">
        <w:r w:rsidRPr="00E92B8A">
          <w:rPr>
            <w:rStyle w:val="Hyperlink"/>
            <w:rFonts w:eastAsiaTheme="majorEastAsia"/>
          </w:rPr>
          <w:t>https://ec.europa.eu/eurostat</w:t>
        </w:r>
      </w:hyperlink>
    </w:p>
    <w:p w14:paraId="1E9BAA6E" w14:textId="5317BD63" w:rsidR="00E92B8A" w:rsidRPr="00E92B8A" w:rsidRDefault="00E92B8A" w:rsidP="00095A3E">
      <w:pPr>
        <w:pStyle w:val="NormalWeb"/>
        <w:numPr>
          <w:ilvl w:val="0"/>
          <w:numId w:val="1"/>
        </w:numPr>
        <w:jc w:val="both"/>
      </w:pPr>
      <w:r w:rsidRPr="00E92B8A">
        <w:t xml:space="preserve">Ayres, R. U., &amp; Warr, B. (2005). Accounting for growth: The role of physical work. </w:t>
      </w:r>
      <w:r w:rsidRPr="00E92B8A">
        <w:rPr>
          <w:rStyle w:val="Emphasis"/>
          <w:rFonts w:eastAsiaTheme="majorEastAsia"/>
        </w:rPr>
        <w:t>Structural Change and Economic Dynamics, 16</w:t>
      </w:r>
      <w:r w:rsidRPr="00E92B8A">
        <w:t xml:space="preserve">(2), 181–209. </w:t>
      </w:r>
      <w:hyperlink r:id="rId8" w:history="1">
        <w:r w:rsidR="003930C6" w:rsidRPr="00B969BF">
          <w:rPr>
            <w:rStyle w:val="Hyperlink"/>
          </w:rPr>
          <w:t>https://doi.org/10.1016/j.strueco.2004.03.003</w:t>
        </w:r>
      </w:hyperlink>
    </w:p>
    <w:p w14:paraId="529FCA3E" w14:textId="77777777" w:rsidR="00E92B8A" w:rsidRPr="00E92B8A" w:rsidRDefault="00E92B8A" w:rsidP="00E92B8A">
      <w:pPr>
        <w:pStyle w:val="NormalWeb"/>
        <w:numPr>
          <w:ilvl w:val="0"/>
          <w:numId w:val="1"/>
        </w:numPr>
        <w:jc w:val="both"/>
      </w:pPr>
      <w:r w:rsidRPr="00E92B8A">
        <w:t xml:space="preserve">Wall, G. (2009). Exergy analysis of the use of natural resources in the economy. </w:t>
      </w:r>
      <w:r w:rsidRPr="00E92B8A">
        <w:rPr>
          <w:rStyle w:val="Emphasis"/>
          <w:rFonts w:eastAsiaTheme="majorEastAsia"/>
        </w:rPr>
        <w:t>International Journal of Exergy, 6</w:t>
      </w:r>
      <w:r w:rsidRPr="00E92B8A">
        <w:t>(4), 377–395. https://doi.org/10.1504/IJEX.2009.026579</w:t>
      </w:r>
    </w:p>
    <w:p w14:paraId="571EA109" w14:textId="77777777" w:rsidR="00E92B8A" w:rsidRPr="00E92B8A" w:rsidRDefault="00E92B8A" w:rsidP="00E92B8A">
      <w:pPr>
        <w:pStyle w:val="NormalWeb"/>
        <w:numPr>
          <w:ilvl w:val="0"/>
          <w:numId w:val="1"/>
        </w:numPr>
        <w:jc w:val="both"/>
      </w:pPr>
      <w:r w:rsidRPr="00E92B8A">
        <w:t xml:space="preserve">Rosen, M. A., &amp; Dincer, I. (2001). Exergy as the confluence of energy, environment and sustainable development. </w:t>
      </w:r>
      <w:r w:rsidRPr="00E92B8A">
        <w:rPr>
          <w:rStyle w:val="Emphasis"/>
          <w:rFonts w:eastAsiaTheme="majorEastAsia"/>
        </w:rPr>
        <w:t>Exergy, An International Journal, 1</w:t>
      </w:r>
      <w:r w:rsidRPr="00E92B8A">
        <w:t>(1), 3–13. https://doi.org/10.1016/S1164-0235(01)00002-2</w:t>
      </w:r>
    </w:p>
    <w:p w14:paraId="4D14C16B" w14:textId="77777777" w:rsidR="00E92B8A" w:rsidRPr="00E92B8A" w:rsidRDefault="00E92B8A" w:rsidP="00E92B8A">
      <w:pPr>
        <w:pStyle w:val="NormalWeb"/>
        <w:numPr>
          <w:ilvl w:val="0"/>
          <w:numId w:val="1"/>
        </w:numPr>
        <w:jc w:val="both"/>
      </w:pPr>
      <w:r w:rsidRPr="00E92B8A">
        <w:t xml:space="preserve">Zhang, Y., Yang, Z., &amp; Yu, X. (2009). The evaluation of urban sustainability based on </w:t>
      </w:r>
      <w:proofErr w:type="spellStart"/>
      <w:r w:rsidRPr="00E92B8A">
        <w:t>emergy</w:t>
      </w:r>
      <w:proofErr w:type="spellEnd"/>
      <w:r w:rsidRPr="00E92B8A">
        <w:t xml:space="preserve"> and exergy analyses. </w:t>
      </w:r>
      <w:r w:rsidRPr="00E92B8A">
        <w:rPr>
          <w:rStyle w:val="Emphasis"/>
          <w:rFonts w:eastAsiaTheme="majorEastAsia"/>
        </w:rPr>
        <w:t>Ecological Modelling, 220</w:t>
      </w:r>
      <w:r w:rsidRPr="00E92B8A">
        <w:t>(13-14), 1703–1710. https://doi.org/10.1016/j.ecolmodel.2009.03.002</w:t>
      </w:r>
    </w:p>
    <w:p w14:paraId="304CF5F9" w14:textId="77777777" w:rsidR="00E92B8A" w:rsidRPr="00E92B8A" w:rsidRDefault="00E92B8A" w:rsidP="00E92B8A">
      <w:pPr>
        <w:pStyle w:val="NormalWeb"/>
        <w:numPr>
          <w:ilvl w:val="0"/>
          <w:numId w:val="1"/>
        </w:numPr>
        <w:jc w:val="both"/>
      </w:pPr>
      <w:r w:rsidRPr="00E92B8A">
        <w:t xml:space="preserve">Kümmel, R. (2011). </w:t>
      </w:r>
      <w:r w:rsidRPr="00E92B8A">
        <w:rPr>
          <w:rStyle w:val="Emphasis"/>
          <w:rFonts w:eastAsiaTheme="majorEastAsia"/>
        </w:rPr>
        <w:t>The Second Law of Economics: Energy, Entropy, and the Origins of Wealth</w:t>
      </w:r>
      <w:r w:rsidRPr="00E92B8A">
        <w:t>. Springer. https://doi.org/10.1007/978-1-4419-9365-6</w:t>
      </w:r>
    </w:p>
    <w:p w14:paraId="13850B9B" w14:textId="77777777" w:rsidR="00E92B8A" w:rsidRPr="00E92B8A" w:rsidRDefault="00E92B8A" w:rsidP="00E92B8A">
      <w:pPr>
        <w:pStyle w:val="NormalWeb"/>
        <w:numPr>
          <w:ilvl w:val="0"/>
          <w:numId w:val="1"/>
        </w:numPr>
        <w:jc w:val="both"/>
      </w:pPr>
      <w:r w:rsidRPr="00E92B8A">
        <w:t xml:space="preserve">Haberl, H., Erb, K.-H., Krausmann, F., &amp; Fischer-Kowalski, M. (2011). Global socio-ecological transitions and the Anthropocene. </w:t>
      </w:r>
      <w:r w:rsidRPr="00E92B8A">
        <w:rPr>
          <w:rStyle w:val="Emphasis"/>
          <w:rFonts w:eastAsiaTheme="majorEastAsia"/>
        </w:rPr>
        <w:t>Ecological Economics, 70</w:t>
      </w:r>
      <w:r w:rsidRPr="00E92B8A">
        <w:t>(10), 1861–1870. https://doi.org/10.1016/j.ecolecon.2011.05.019</w:t>
      </w:r>
    </w:p>
    <w:p w14:paraId="721AEAFC" w14:textId="77777777" w:rsidR="00E92B8A" w:rsidRPr="00E92B8A" w:rsidRDefault="00E92B8A" w:rsidP="00E92B8A">
      <w:pPr>
        <w:pStyle w:val="NormalWeb"/>
        <w:numPr>
          <w:ilvl w:val="0"/>
          <w:numId w:val="1"/>
        </w:numPr>
        <w:jc w:val="both"/>
      </w:pPr>
      <w:r w:rsidRPr="00E92B8A">
        <w:t>Giampietro, M., Mayumi, K., &amp; Ramos-Martin, J. (2009). Multi-scale integrated analysis of societal and ecosystem metabolism (</w:t>
      </w:r>
      <w:proofErr w:type="spellStart"/>
      <w:r w:rsidRPr="00E92B8A">
        <w:t>MuSIASEM</w:t>
      </w:r>
      <w:proofErr w:type="spellEnd"/>
      <w:r w:rsidRPr="00E92B8A">
        <w:t xml:space="preserve">): Theoretical concepts and basic rationale. </w:t>
      </w:r>
      <w:r w:rsidRPr="00E92B8A">
        <w:rPr>
          <w:rStyle w:val="Emphasis"/>
          <w:rFonts w:eastAsiaTheme="majorEastAsia"/>
        </w:rPr>
        <w:t>Energy, 34</w:t>
      </w:r>
      <w:r w:rsidRPr="00E92B8A">
        <w:t>(3), 313–322. https://doi.org/10.1016/j.energy.2008.07.020</w:t>
      </w:r>
    </w:p>
    <w:p w14:paraId="0E25EE78" w14:textId="77777777" w:rsidR="00E92B8A" w:rsidRPr="00E92B8A" w:rsidRDefault="00E92B8A" w:rsidP="00E92B8A">
      <w:pPr>
        <w:pStyle w:val="NormalWeb"/>
        <w:numPr>
          <w:ilvl w:val="0"/>
          <w:numId w:val="1"/>
        </w:numPr>
        <w:jc w:val="both"/>
      </w:pPr>
      <w:r w:rsidRPr="00E92B8A">
        <w:t xml:space="preserve">ISPRA. (2023). </w:t>
      </w:r>
      <w:r w:rsidRPr="00E92B8A">
        <w:rPr>
          <w:rStyle w:val="Emphasis"/>
          <w:rFonts w:eastAsiaTheme="majorEastAsia"/>
        </w:rPr>
        <w:t>Italian Emission Inventory 1990–2021</w:t>
      </w:r>
      <w:r w:rsidRPr="00E92B8A">
        <w:t xml:space="preserve">. </w:t>
      </w:r>
      <w:proofErr w:type="spellStart"/>
      <w:r w:rsidRPr="00E92B8A">
        <w:t>Istituto</w:t>
      </w:r>
      <w:proofErr w:type="spellEnd"/>
      <w:r w:rsidRPr="00E92B8A">
        <w:t xml:space="preserve"> </w:t>
      </w:r>
      <w:proofErr w:type="spellStart"/>
      <w:r w:rsidRPr="00E92B8A">
        <w:t>Superiore</w:t>
      </w:r>
      <w:proofErr w:type="spellEnd"/>
      <w:r w:rsidRPr="00E92B8A">
        <w:t xml:space="preserve"> per la </w:t>
      </w:r>
      <w:proofErr w:type="spellStart"/>
      <w:r w:rsidRPr="00E92B8A">
        <w:t>Protezione</w:t>
      </w:r>
      <w:proofErr w:type="spellEnd"/>
      <w:r w:rsidRPr="00E92B8A">
        <w:t xml:space="preserve"> e la </w:t>
      </w:r>
      <w:proofErr w:type="spellStart"/>
      <w:r w:rsidRPr="00E92B8A">
        <w:t>Ricerca</w:t>
      </w:r>
      <w:proofErr w:type="spellEnd"/>
      <w:r w:rsidRPr="00E92B8A">
        <w:t xml:space="preserve"> </w:t>
      </w:r>
      <w:proofErr w:type="spellStart"/>
      <w:r w:rsidRPr="00E92B8A">
        <w:t>Ambientale</w:t>
      </w:r>
      <w:proofErr w:type="spellEnd"/>
      <w:r w:rsidRPr="00E92B8A">
        <w:t xml:space="preserve">. </w:t>
      </w:r>
      <w:hyperlink r:id="rId9" w:tgtFrame="_new" w:history="1">
        <w:r w:rsidRPr="00E92B8A">
          <w:rPr>
            <w:rStyle w:val="Hyperlink"/>
            <w:rFonts w:eastAsiaTheme="majorEastAsia"/>
          </w:rPr>
          <w:t>https://www.isprambiente.gov.it</w:t>
        </w:r>
      </w:hyperlink>
    </w:p>
    <w:p w14:paraId="6F0FA7FA" w14:textId="77777777" w:rsidR="00733E3F" w:rsidRDefault="00733E3F"/>
    <w:sectPr w:rsidR="00733E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B653" w14:textId="77777777" w:rsidR="00F957EE" w:rsidRDefault="00F957EE" w:rsidP="001969B7">
      <w:pPr>
        <w:spacing w:after="0" w:line="240" w:lineRule="auto"/>
      </w:pPr>
      <w:r>
        <w:separator/>
      </w:r>
    </w:p>
  </w:endnote>
  <w:endnote w:type="continuationSeparator" w:id="0">
    <w:p w14:paraId="7D70E956" w14:textId="77777777" w:rsidR="00F957EE" w:rsidRDefault="00F957EE" w:rsidP="0019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62733"/>
      <w:docPartObj>
        <w:docPartGallery w:val="Page Numbers (Bottom of Page)"/>
        <w:docPartUnique/>
      </w:docPartObj>
    </w:sdtPr>
    <w:sdtEndPr>
      <w:rPr>
        <w:noProof/>
      </w:rPr>
    </w:sdtEndPr>
    <w:sdtContent>
      <w:p w14:paraId="2711FDC1" w14:textId="02FA4177" w:rsidR="001969B7" w:rsidRDefault="001969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00144" w14:textId="77777777" w:rsidR="001969B7" w:rsidRDefault="0019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C009" w14:textId="77777777" w:rsidR="00F957EE" w:rsidRDefault="00F957EE" w:rsidP="001969B7">
      <w:pPr>
        <w:spacing w:after="0" w:line="240" w:lineRule="auto"/>
      </w:pPr>
      <w:r>
        <w:separator/>
      </w:r>
    </w:p>
  </w:footnote>
  <w:footnote w:type="continuationSeparator" w:id="0">
    <w:p w14:paraId="37D93341" w14:textId="77777777" w:rsidR="00F957EE" w:rsidRDefault="00F957EE" w:rsidP="0019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238"/>
    <w:multiLevelType w:val="multilevel"/>
    <w:tmpl w:val="377A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FB"/>
    <w:rsid w:val="00011415"/>
    <w:rsid w:val="00095A3E"/>
    <w:rsid w:val="000B1EBC"/>
    <w:rsid w:val="00143C25"/>
    <w:rsid w:val="001969B7"/>
    <w:rsid w:val="003930C6"/>
    <w:rsid w:val="00412FD9"/>
    <w:rsid w:val="004A1DC9"/>
    <w:rsid w:val="0053047D"/>
    <w:rsid w:val="00587413"/>
    <w:rsid w:val="00664525"/>
    <w:rsid w:val="00733E3F"/>
    <w:rsid w:val="00AB50FB"/>
    <w:rsid w:val="00AC56B9"/>
    <w:rsid w:val="00AF5F03"/>
    <w:rsid w:val="00CB19A4"/>
    <w:rsid w:val="00CC5357"/>
    <w:rsid w:val="00D41E1E"/>
    <w:rsid w:val="00DA4D08"/>
    <w:rsid w:val="00DF436D"/>
    <w:rsid w:val="00E655E8"/>
    <w:rsid w:val="00E92B8A"/>
    <w:rsid w:val="00F957EE"/>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6D21"/>
  <w15:chartTrackingRefBased/>
  <w15:docId w15:val="{81CECE82-C263-415E-A270-3D07D19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50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0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0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50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0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0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FB"/>
    <w:rPr>
      <w:rFonts w:eastAsiaTheme="majorEastAsia" w:cstheme="majorBidi"/>
      <w:color w:val="272727" w:themeColor="text1" w:themeTint="D8"/>
    </w:rPr>
  </w:style>
  <w:style w:type="paragraph" w:styleId="Title">
    <w:name w:val="Title"/>
    <w:basedOn w:val="Normal"/>
    <w:next w:val="Normal"/>
    <w:link w:val="TitleChar"/>
    <w:uiPriority w:val="10"/>
    <w:qFormat/>
    <w:rsid w:val="00AB5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FB"/>
    <w:pPr>
      <w:spacing w:before="160"/>
      <w:jc w:val="center"/>
    </w:pPr>
    <w:rPr>
      <w:i/>
      <w:iCs/>
      <w:color w:val="404040" w:themeColor="text1" w:themeTint="BF"/>
    </w:rPr>
  </w:style>
  <w:style w:type="character" w:customStyle="1" w:styleId="QuoteChar">
    <w:name w:val="Quote Char"/>
    <w:basedOn w:val="DefaultParagraphFont"/>
    <w:link w:val="Quote"/>
    <w:uiPriority w:val="29"/>
    <w:rsid w:val="00AB50FB"/>
    <w:rPr>
      <w:i/>
      <w:iCs/>
      <w:color w:val="404040" w:themeColor="text1" w:themeTint="BF"/>
    </w:rPr>
  </w:style>
  <w:style w:type="paragraph" w:styleId="ListParagraph">
    <w:name w:val="List Paragraph"/>
    <w:basedOn w:val="Normal"/>
    <w:uiPriority w:val="34"/>
    <w:qFormat/>
    <w:rsid w:val="00AB50FB"/>
    <w:pPr>
      <w:ind w:left="720"/>
      <w:contextualSpacing/>
    </w:pPr>
  </w:style>
  <w:style w:type="character" w:styleId="IntenseEmphasis">
    <w:name w:val="Intense Emphasis"/>
    <w:basedOn w:val="DefaultParagraphFont"/>
    <w:uiPriority w:val="21"/>
    <w:qFormat/>
    <w:rsid w:val="00AB50FB"/>
    <w:rPr>
      <w:i/>
      <w:iCs/>
      <w:color w:val="2F5496" w:themeColor="accent1" w:themeShade="BF"/>
    </w:rPr>
  </w:style>
  <w:style w:type="paragraph" w:styleId="IntenseQuote">
    <w:name w:val="Intense Quote"/>
    <w:basedOn w:val="Normal"/>
    <w:next w:val="Normal"/>
    <w:link w:val="IntenseQuoteChar"/>
    <w:uiPriority w:val="30"/>
    <w:qFormat/>
    <w:rsid w:val="00AB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0FB"/>
    <w:rPr>
      <w:i/>
      <w:iCs/>
      <w:color w:val="2F5496" w:themeColor="accent1" w:themeShade="BF"/>
    </w:rPr>
  </w:style>
  <w:style w:type="character" w:styleId="IntenseReference">
    <w:name w:val="Intense Reference"/>
    <w:basedOn w:val="DefaultParagraphFont"/>
    <w:uiPriority w:val="32"/>
    <w:qFormat/>
    <w:rsid w:val="00AB50FB"/>
    <w:rPr>
      <w:b/>
      <w:bCs/>
      <w:smallCaps/>
      <w:color w:val="2F5496" w:themeColor="accent1" w:themeShade="BF"/>
      <w:spacing w:val="5"/>
    </w:rPr>
  </w:style>
  <w:style w:type="paragraph" w:styleId="NormalWeb">
    <w:name w:val="Normal (Web)"/>
    <w:basedOn w:val="Normal"/>
    <w:uiPriority w:val="99"/>
    <w:unhideWhenUsed/>
    <w:rsid w:val="00E92B8A"/>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E92B8A"/>
    <w:rPr>
      <w:b/>
      <w:bCs/>
    </w:rPr>
  </w:style>
  <w:style w:type="character" w:styleId="Emphasis">
    <w:name w:val="Emphasis"/>
    <w:basedOn w:val="DefaultParagraphFont"/>
    <w:uiPriority w:val="20"/>
    <w:qFormat/>
    <w:rsid w:val="00E92B8A"/>
    <w:rPr>
      <w:i/>
      <w:iCs/>
    </w:rPr>
  </w:style>
  <w:style w:type="character" w:styleId="Hyperlink">
    <w:name w:val="Hyperlink"/>
    <w:basedOn w:val="DefaultParagraphFont"/>
    <w:uiPriority w:val="99"/>
    <w:unhideWhenUsed/>
    <w:rsid w:val="00E92B8A"/>
    <w:rPr>
      <w:color w:val="0000FF"/>
      <w:u w:val="single"/>
    </w:rPr>
  </w:style>
  <w:style w:type="character" w:styleId="UnresolvedMention">
    <w:name w:val="Unresolved Mention"/>
    <w:basedOn w:val="DefaultParagraphFont"/>
    <w:uiPriority w:val="99"/>
    <w:semiHidden/>
    <w:unhideWhenUsed/>
    <w:rsid w:val="003930C6"/>
    <w:rPr>
      <w:color w:val="605E5C"/>
      <w:shd w:val="clear" w:color="auto" w:fill="E1DFDD"/>
    </w:rPr>
  </w:style>
  <w:style w:type="paragraph" w:styleId="Header">
    <w:name w:val="header"/>
    <w:basedOn w:val="Normal"/>
    <w:link w:val="HeaderChar"/>
    <w:uiPriority w:val="99"/>
    <w:unhideWhenUsed/>
    <w:rsid w:val="00196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9B7"/>
  </w:style>
  <w:style w:type="paragraph" w:styleId="Footer">
    <w:name w:val="footer"/>
    <w:basedOn w:val="Normal"/>
    <w:link w:val="FooterChar"/>
    <w:uiPriority w:val="99"/>
    <w:unhideWhenUsed/>
    <w:rsid w:val="00196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trueco.2004.03.003" TargetMode="External"/><Relationship Id="rId3" Type="http://schemas.openxmlformats.org/officeDocument/2006/relationships/settings" Target="settings.xml"/><Relationship Id="rId7" Type="http://schemas.openxmlformats.org/officeDocument/2006/relationships/hyperlink" Target="https://ec.europa.eu/eurost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prambiente.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2025-06-09T19:53:00Z</dcterms:created>
  <dcterms:modified xsi:type="dcterms:W3CDTF">2025-06-09T19:53:00Z</dcterms:modified>
</cp:coreProperties>
</file>