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22B64" w14:textId="691646D6" w:rsidR="00095C88" w:rsidRDefault="002E7075" w:rsidP="002E707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E7075">
        <w:rPr>
          <w:rFonts w:ascii="Times New Roman" w:hAnsi="Times New Roman" w:cs="Times New Roman"/>
          <w:color w:val="000000"/>
          <w:sz w:val="28"/>
          <w:szCs w:val="28"/>
        </w:rPr>
        <w:t xml:space="preserve">Efficient U-Net Model on FPGAs: A VitisAI Approach with Xilinx ZCU104 </w:t>
      </w:r>
    </w:p>
    <w:p w14:paraId="188C634C" w14:textId="77777777" w:rsidR="002E7075" w:rsidRDefault="002E7075" w:rsidP="002E707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DDEBB6C" w14:textId="326D4971" w:rsidR="002E7075" w:rsidRDefault="002E7075" w:rsidP="002E7075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Arban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Uka</w:t>
      </w:r>
      <w:r w:rsidR="00883463" w:rsidRPr="00883463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en-US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Igli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Stergu</w:t>
      </w:r>
      <w:r w:rsidR="00883463" w:rsidRPr="00883463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en-US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, Griselda Alushllari</w:t>
      </w:r>
      <w:r w:rsidR="00883463" w:rsidRPr="00883463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en-US"/>
        </w:rPr>
        <w:t>1,2</w:t>
      </w:r>
      <w:r w:rsidR="00464BB1">
        <w:rPr>
          <w:rFonts w:ascii="Times New Roman" w:hAnsi="Times New Roman" w:cs="Times New Roman"/>
          <w:color w:val="000000"/>
          <w:sz w:val="28"/>
          <w:szCs w:val="28"/>
          <w:lang w:val="en-US"/>
        </w:rPr>
        <w:t>,</w:t>
      </w:r>
      <w:r w:rsidR="0088346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464BB1">
        <w:rPr>
          <w:rFonts w:ascii="Times New Roman" w:hAnsi="Times New Roman" w:cs="Times New Roman"/>
          <w:color w:val="000000"/>
          <w:sz w:val="28"/>
          <w:szCs w:val="28"/>
          <w:lang w:val="en-US"/>
        </w:rPr>
        <w:t>Bekir Karlik</w:t>
      </w:r>
      <w:r w:rsidR="00883463" w:rsidRPr="00883463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en-US"/>
        </w:rPr>
        <w:t>1</w:t>
      </w:r>
    </w:p>
    <w:p w14:paraId="3CD4DC60" w14:textId="77777777" w:rsidR="002E7075" w:rsidRDefault="002E7075" w:rsidP="002E7075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14:paraId="007FDAD9" w14:textId="77777777" w:rsidR="00883463" w:rsidRPr="007E65F1" w:rsidRDefault="00883463" w:rsidP="00883463">
      <w:pPr>
        <w:spacing w:before="240" w:after="240"/>
        <w:jc w:val="center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7E65F1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en-GB"/>
          <w14:ligatures w14:val="none"/>
        </w:rPr>
        <w:t>1</w:t>
      </w:r>
      <w:r w:rsidRPr="007E65F1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Department of Computer Engineering, EPOKA University, Tirana, Albania</w:t>
      </w:r>
    </w:p>
    <w:p w14:paraId="209A19D2" w14:textId="2C5D5A80" w:rsidR="00883463" w:rsidRDefault="00883463" w:rsidP="00883463">
      <w:pPr>
        <w:spacing w:before="240" w:after="240"/>
        <w:jc w:val="center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vertAlign w:val="superscript"/>
          <w:lang w:val="en-US" w:eastAsia="en-GB"/>
          <w14:ligatures w14:val="none"/>
        </w:rPr>
        <w:t>2</w:t>
      </w:r>
      <w:r w:rsidRPr="007E65F1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Department of Physics, Tirana University, Tirana, Albania</w:t>
      </w:r>
    </w:p>
    <w:p w14:paraId="52DD555F" w14:textId="77777777" w:rsidR="00883463" w:rsidRPr="007E65F1" w:rsidRDefault="00883463" w:rsidP="00883463">
      <w:pPr>
        <w:spacing w:before="240" w:after="240"/>
        <w:jc w:val="center"/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</w:pPr>
      <w:hyperlink r:id="rId4" w:history="1">
        <w:r w:rsidRPr="00C527F3">
          <w:rPr>
            <w:rStyle w:val="Hyperlink"/>
            <w:rFonts w:ascii="Times New Roman" w:eastAsia="Times New Roman" w:hAnsi="Times New Roman" w:cs="Times New Roman"/>
            <w:kern w:val="0"/>
            <w:lang w:val="en-US" w:eastAsia="en-GB"/>
            <w14:ligatures w14:val="none"/>
          </w:rPr>
          <w:t>auka@epoka.edu.al</w:t>
        </w:r>
      </w:hyperlink>
      <w:r>
        <w:rPr>
          <w:rFonts w:ascii="Times New Roman" w:eastAsia="Times New Roman" w:hAnsi="Times New Roman" w:cs="Times New Roman"/>
          <w:color w:val="000000"/>
          <w:kern w:val="0"/>
          <w:lang w:val="en-US" w:eastAsia="en-GB"/>
          <w14:ligatures w14:val="none"/>
        </w:rPr>
        <w:t xml:space="preserve"> </w:t>
      </w:r>
    </w:p>
    <w:p w14:paraId="50D5733A" w14:textId="77777777" w:rsidR="00883463" w:rsidRDefault="00883463" w:rsidP="002E7075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14:paraId="26B4D63D" w14:textId="77777777" w:rsidR="002E7075" w:rsidRPr="002E7075" w:rsidRDefault="002E7075" w:rsidP="00883463">
      <w:pPr>
        <w:rPr>
          <w:rFonts w:ascii="Times New Roman" w:hAnsi="Times New Roman" w:cs="Times New Roman"/>
          <w:color w:val="000000"/>
          <w:lang w:val="en-US"/>
        </w:rPr>
      </w:pPr>
    </w:p>
    <w:p w14:paraId="44B8492F" w14:textId="674BA08C" w:rsidR="002E7075" w:rsidRDefault="002E7075" w:rsidP="006608DA">
      <w:pPr>
        <w:spacing w:line="276" w:lineRule="auto"/>
        <w:jc w:val="both"/>
        <w:rPr>
          <w:rFonts w:ascii="Times New Roman" w:hAnsi="Times New Roman" w:cs="Times New Roman"/>
          <w:color w:val="000000"/>
          <w:lang w:val="en-US"/>
        </w:rPr>
      </w:pPr>
      <w:r w:rsidRPr="002E7075">
        <w:rPr>
          <w:rFonts w:ascii="Times New Roman" w:hAnsi="Times New Roman" w:cs="Times New Roman"/>
          <w:color w:val="000000"/>
          <w:lang w:val="en-US"/>
        </w:rPr>
        <w:t xml:space="preserve">Field programmable gate arrays (FPGA) are reconfigurable and serve as prototyping platforms for application-specific integrated circuits (ASIC). FPGA are composed of configurable logic blocks and programmable interconnects </w:t>
      </w:r>
      <w:r>
        <w:rPr>
          <w:rFonts w:ascii="Times New Roman" w:hAnsi="Times New Roman" w:cs="Times New Roman"/>
          <w:color w:val="000000"/>
          <w:lang w:val="en-US"/>
        </w:rPr>
        <w:t>and allow rapid testing of digital designs.</w:t>
      </w:r>
      <w:r w:rsidR="006608DA">
        <w:rPr>
          <w:rFonts w:ascii="Times New Roman" w:hAnsi="Times New Roman" w:cs="Times New Roman"/>
          <w:color w:val="000000"/>
          <w:lang w:val="en-US"/>
        </w:rPr>
        <w:t xml:space="preserve"> </w:t>
      </w:r>
      <w:r w:rsidR="0033278F">
        <w:rPr>
          <w:rFonts w:ascii="Times New Roman" w:hAnsi="Times New Roman" w:cs="Times New Roman"/>
          <w:color w:val="000000"/>
          <w:lang w:val="en-US"/>
        </w:rPr>
        <w:t>Many challenges in medical field, in agriculture and in security are solved by the implementation of artificial intelligence techniques in high performance computing units with a</w:t>
      </w:r>
      <w:r w:rsidR="00DD68E1">
        <w:rPr>
          <w:rFonts w:ascii="Times New Roman" w:hAnsi="Times New Roman" w:cs="Times New Roman"/>
          <w:color w:val="000000"/>
          <w:lang w:val="en-US"/>
        </w:rPr>
        <w:t>n inherently</w:t>
      </w:r>
      <w:r w:rsidR="0033278F">
        <w:rPr>
          <w:rFonts w:ascii="Times New Roman" w:hAnsi="Times New Roman" w:cs="Times New Roman"/>
          <w:color w:val="000000"/>
          <w:lang w:val="en-US"/>
        </w:rPr>
        <w:t xml:space="preserve"> high</w:t>
      </w:r>
      <w:r w:rsidR="00DD68E1">
        <w:rPr>
          <w:rFonts w:ascii="Times New Roman" w:hAnsi="Times New Roman" w:cs="Times New Roman"/>
          <w:color w:val="000000"/>
          <w:lang w:val="en-US"/>
        </w:rPr>
        <w:t>er</w:t>
      </w:r>
      <w:r w:rsidR="0033278F">
        <w:rPr>
          <w:rFonts w:ascii="Times New Roman" w:hAnsi="Times New Roman" w:cs="Times New Roman"/>
          <w:color w:val="000000"/>
          <w:lang w:val="en-US"/>
        </w:rPr>
        <w:t xml:space="preserve"> quantitative accuracy than any user. The </w:t>
      </w:r>
      <w:r w:rsidR="00DD68E1">
        <w:rPr>
          <w:rFonts w:ascii="Times New Roman" w:hAnsi="Times New Roman" w:cs="Times New Roman"/>
          <w:color w:val="000000"/>
          <w:lang w:val="en-US"/>
        </w:rPr>
        <w:t xml:space="preserve">implementation of these techniques on portable computing units (including FPGA) has gained great attention in the new field of </w:t>
      </w:r>
      <w:proofErr w:type="spellStart"/>
      <w:r w:rsidR="00DD68E1">
        <w:rPr>
          <w:rFonts w:ascii="Times New Roman" w:hAnsi="Times New Roman" w:cs="Times New Roman"/>
          <w:color w:val="000000"/>
          <w:lang w:val="en-US"/>
        </w:rPr>
        <w:t>tinyML</w:t>
      </w:r>
      <w:proofErr w:type="spellEnd"/>
      <w:r w:rsidR="00DD68E1">
        <w:rPr>
          <w:rFonts w:ascii="Times New Roman" w:hAnsi="Times New Roman" w:cs="Times New Roman"/>
          <w:color w:val="000000"/>
          <w:lang w:val="en-US"/>
        </w:rPr>
        <w:t xml:space="preserve">. </w:t>
      </w:r>
      <w:r w:rsidR="000871AB">
        <w:rPr>
          <w:rFonts w:ascii="Times New Roman" w:hAnsi="Times New Roman" w:cs="Times New Roman"/>
          <w:color w:val="000000"/>
          <w:lang w:val="en-US"/>
        </w:rPr>
        <w:t xml:space="preserve">Here, we present an efficient FPGA implementation of </w:t>
      </w:r>
      <w:r w:rsidR="004A17A1">
        <w:rPr>
          <w:rFonts w:ascii="Times New Roman" w:hAnsi="Times New Roman" w:cs="Times New Roman"/>
          <w:color w:val="000000"/>
          <w:lang w:val="en-US"/>
        </w:rPr>
        <w:t xml:space="preserve">UNET architecture segmentation of </w:t>
      </w:r>
      <w:r w:rsidR="00254400">
        <w:rPr>
          <w:rFonts w:ascii="Times New Roman" w:hAnsi="Times New Roman" w:cs="Times New Roman"/>
          <w:color w:val="000000"/>
          <w:lang w:val="en-US"/>
        </w:rPr>
        <w:t>unstained brightfield cell</w:t>
      </w:r>
      <w:r w:rsidR="004A17A1">
        <w:rPr>
          <w:rFonts w:ascii="Times New Roman" w:hAnsi="Times New Roman" w:cs="Times New Roman"/>
          <w:color w:val="000000"/>
          <w:lang w:val="en-US"/>
        </w:rPr>
        <w:t xml:space="preserve"> images</w:t>
      </w:r>
      <w:r w:rsidR="00776840">
        <w:rPr>
          <w:rFonts w:ascii="Times New Roman" w:hAnsi="Times New Roman" w:cs="Times New Roman"/>
          <w:color w:val="000000"/>
          <w:lang w:val="en-US"/>
        </w:rPr>
        <w:t xml:space="preserve"> achieving a 97% accuracy</w:t>
      </w:r>
      <w:r w:rsidR="004A17A1">
        <w:rPr>
          <w:rFonts w:ascii="Times New Roman" w:hAnsi="Times New Roman" w:cs="Times New Roman"/>
          <w:color w:val="000000"/>
          <w:lang w:val="en-US"/>
        </w:rPr>
        <w:t xml:space="preserve">. Quantization and pruning are used by effectively reducing the model size without a significant decrease in the accuracy. </w:t>
      </w:r>
      <w:r w:rsidR="00ED41C1">
        <w:rPr>
          <w:rFonts w:ascii="Times New Roman" w:hAnsi="Times New Roman" w:cs="Times New Roman"/>
          <w:color w:val="000000"/>
          <w:lang w:val="en-US"/>
        </w:rPr>
        <w:t xml:space="preserve">This work indicates the importance of combining algorithmic based compression techniques with hardware-aware optimizations.  </w:t>
      </w:r>
    </w:p>
    <w:p w14:paraId="795B58E0" w14:textId="77777777" w:rsidR="00E112EF" w:rsidRDefault="00E112EF" w:rsidP="002E7075">
      <w:pPr>
        <w:jc w:val="both"/>
        <w:rPr>
          <w:rFonts w:ascii="Times New Roman" w:hAnsi="Times New Roman" w:cs="Times New Roman"/>
          <w:color w:val="000000"/>
          <w:lang w:val="en-US"/>
        </w:rPr>
      </w:pPr>
    </w:p>
    <w:p w14:paraId="420DA980" w14:textId="77777777" w:rsidR="00E112EF" w:rsidRDefault="00E112EF" w:rsidP="002E7075">
      <w:pPr>
        <w:jc w:val="both"/>
        <w:rPr>
          <w:rFonts w:ascii="Times New Roman" w:hAnsi="Times New Roman" w:cs="Times New Roman"/>
          <w:color w:val="000000"/>
          <w:lang w:val="en-US"/>
        </w:rPr>
      </w:pPr>
    </w:p>
    <w:p w14:paraId="3FCD5B64" w14:textId="6BAA6A87" w:rsidR="00E112EF" w:rsidRDefault="00E112EF" w:rsidP="002E7075">
      <w:pPr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 xml:space="preserve">Keywords: FPGA,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tinyML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, deep learning, </w:t>
      </w:r>
      <w:proofErr w:type="gramStart"/>
      <w:r w:rsidR="00F06710">
        <w:rPr>
          <w:rFonts w:ascii="Times New Roman" w:hAnsi="Times New Roman" w:cs="Times New Roman"/>
          <w:color w:val="000000"/>
          <w:lang w:val="en-US"/>
        </w:rPr>
        <w:t>Medical</w:t>
      </w:r>
      <w:proofErr w:type="gramEnd"/>
      <w:r w:rsidR="00F06710">
        <w:rPr>
          <w:rFonts w:ascii="Times New Roman" w:hAnsi="Times New Roman" w:cs="Times New Roman"/>
          <w:color w:val="000000"/>
          <w:lang w:val="en-US"/>
        </w:rPr>
        <w:t xml:space="preserve"> image segmentation. </w:t>
      </w:r>
    </w:p>
    <w:p w14:paraId="57A06D2C" w14:textId="77777777" w:rsidR="00781CBE" w:rsidRPr="00781CBE" w:rsidRDefault="00781CBE" w:rsidP="002E7075">
      <w:pPr>
        <w:jc w:val="both"/>
        <w:rPr>
          <w:rFonts w:ascii="Times New Roman" w:hAnsi="Times New Roman" w:cs="Times New Roman"/>
          <w:b/>
          <w:bCs/>
          <w:color w:val="000000"/>
          <w:lang w:val="en-US"/>
        </w:rPr>
      </w:pPr>
    </w:p>
    <w:p w14:paraId="643A74C8" w14:textId="5D9AD471" w:rsidR="00781CBE" w:rsidRDefault="00781CBE" w:rsidP="002E7075">
      <w:pPr>
        <w:jc w:val="both"/>
        <w:rPr>
          <w:rFonts w:ascii="Times New Roman" w:hAnsi="Times New Roman" w:cs="Times New Roman"/>
          <w:b/>
          <w:bCs/>
          <w:color w:val="000000"/>
          <w:lang w:val="en-US"/>
        </w:rPr>
      </w:pPr>
      <w:r w:rsidRPr="00781CBE">
        <w:rPr>
          <w:rFonts w:ascii="Times New Roman" w:hAnsi="Times New Roman" w:cs="Times New Roman"/>
          <w:b/>
          <w:bCs/>
          <w:color w:val="000000"/>
          <w:lang w:val="en-US"/>
        </w:rPr>
        <w:t>References:</w:t>
      </w:r>
    </w:p>
    <w:p w14:paraId="71466DBC" w14:textId="77777777" w:rsidR="00781CBE" w:rsidRDefault="00781CBE" w:rsidP="002E7075">
      <w:pPr>
        <w:jc w:val="both"/>
        <w:rPr>
          <w:rFonts w:ascii="Times New Roman" w:hAnsi="Times New Roman" w:cs="Times New Roman"/>
          <w:b/>
          <w:bCs/>
          <w:color w:val="000000"/>
          <w:lang w:val="en-US"/>
        </w:rPr>
      </w:pPr>
    </w:p>
    <w:p w14:paraId="065ACEB9" w14:textId="44C99E7B" w:rsidR="00781CBE" w:rsidRDefault="00781CBE" w:rsidP="002E7075">
      <w:pPr>
        <w:jc w:val="both"/>
        <w:rPr>
          <w:rFonts w:ascii="Times New Roman" w:hAnsi="Times New Roman" w:cs="Times New Roman"/>
          <w:color w:val="000000"/>
          <w:lang w:val="en-US"/>
        </w:rPr>
      </w:pPr>
      <w:r w:rsidRPr="00781CBE">
        <w:rPr>
          <w:rFonts w:ascii="Times New Roman" w:hAnsi="Times New Roman" w:cs="Times New Roman"/>
          <w:color w:val="000000"/>
          <w:lang w:val="en-US"/>
        </w:rPr>
        <w:t xml:space="preserve">[1]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Ng, W. S., Goh, W. L., &amp; Gao, Y. (2024, May). High Accuracy and Low Latency Mixed Precision Neural Network Acceleration for TinyML Applications on Resource-Constrained FPGAs. In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2024 IEEE International Symposium on Circuits and Systems (ISCAS)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 (pp. 1-5). IEEE.</w:t>
      </w:r>
    </w:p>
    <w:p w14:paraId="5741F298" w14:textId="185316EB" w:rsidR="00781CBE" w:rsidRDefault="00781CBE" w:rsidP="002E7075">
      <w:p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lang w:val="en-US"/>
        </w:rPr>
        <w:t xml:space="preserve">[2] </w:t>
      </w:r>
      <w:r w:rsidRPr="00781CBE">
        <w:rPr>
          <w:rFonts w:ascii="Arial" w:hAnsi="Arial" w:cs="Arial"/>
          <w:color w:val="222222"/>
          <w:sz w:val="20"/>
          <w:szCs w:val="20"/>
          <w:shd w:val="clear" w:color="auto" w:fill="FFFFFF"/>
        </w:rPr>
        <w:t>Uka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A., Topalli, G., Hoxha, J., &amp; Vrana, N. E. (2021). FPGA Implementation of Filters in Medical Imaging. In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BIODEVICES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 (pp. 195-200).</w:t>
      </w:r>
    </w:p>
    <w:p w14:paraId="5757E567" w14:textId="7E90286C" w:rsidR="00781CBE" w:rsidRPr="00781CBE" w:rsidRDefault="00781CBE" w:rsidP="002E7075">
      <w:pPr>
        <w:jc w:val="both"/>
        <w:rPr>
          <w:rFonts w:ascii="Times New Roman" w:hAnsi="Times New Roman" w:cs="Times New Roman"/>
          <w:b/>
          <w:bCs/>
          <w:color w:val="000000"/>
          <w:lang w:val="en-US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[3]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Prakash, S., Callahan, T., Bushagour, J., Banbury, C., Green, A. V., Warden, P., ... &amp; Reddi, V. J. (2023, April). Cfu playground: Full-stack open-source framework for tiny machine learning (tinyml) acceleration on fpgas. In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2023 IEEE International Symposium on Performance Analysis of Systems and Software (ISPASS)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 (pp. 157-167). IEEE.</w:t>
      </w:r>
    </w:p>
    <w:p w14:paraId="5A85AFD5" w14:textId="77777777" w:rsidR="00781CBE" w:rsidRPr="002E7075" w:rsidRDefault="00781CBE" w:rsidP="002E7075">
      <w:pPr>
        <w:jc w:val="both"/>
        <w:rPr>
          <w:rFonts w:ascii="Times New Roman" w:hAnsi="Times New Roman" w:cs="Times New Roman"/>
          <w:color w:val="000000"/>
          <w:lang w:val="en-US"/>
        </w:rPr>
      </w:pPr>
    </w:p>
    <w:p w14:paraId="0A2EC0ED" w14:textId="77777777" w:rsidR="002E7075" w:rsidRPr="002E7075" w:rsidRDefault="002E7075" w:rsidP="002E7075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2E7075" w:rsidRPr="002E70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075"/>
    <w:rsid w:val="00003C49"/>
    <w:rsid w:val="000871AB"/>
    <w:rsid w:val="00095C88"/>
    <w:rsid w:val="00254400"/>
    <w:rsid w:val="002E7075"/>
    <w:rsid w:val="0033278F"/>
    <w:rsid w:val="00464BB1"/>
    <w:rsid w:val="004A17A1"/>
    <w:rsid w:val="006156AE"/>
    <w:rsid w:val="006608DA"/>
    <w:rsid w:val="00671F98"/>
    <w:rsid w:val="00776840"/>
    <w:rsid w:val="00781CBE"/>
    <w:rsid w:val="00883463"/>
    <w:rsid w:val="00A040F7"/>
    <w:rsid w:val="00DD68E1"/>
    <w:rsid w:val="00E112EF"/>
    <w:rsid w:val="00ED41C1"/>
    <w:rsid w:val="00F06710"/>
    <w:rsid w:val="00FF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F3AFD7"/>
  <w15:chartTrackingRefBased/>
  <w15:docId w15:val="{95FEDBEA-4D5A-7242-93D4-BF8DE76E8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70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70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70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70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70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707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707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707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707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70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70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70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70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70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70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70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70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70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70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70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707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70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707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70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70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70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70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70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707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8346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uka@epoka.edu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Arban Uka</dc:creator>
  <cp:keywords/>
  <dc:description/>
  <cp:lastModifiedBy>Arban Uka</cp:lastModifiedBy>
  <cp:revision>18</cp:revision>
  <dcterms:created xsi:type="dcterms:W3CDTF">2025-06-15T21:23:00Z</dcterms:created>
  <dcterms:modified xsi:type="dcterms:W3CDTF">2025-06-15T21:51:00Z</dcterms:modified>
</cp:coreProperties>
</file>